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E5" w:rsidRP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8E5">
        <w:rPr>
          <w:rFonts w:ascii="Times New Roman" w:hAnsi="Times New Roman" w:cs="Times New Roman"/>
          <w:b/>
          <w:bCs/>
          <w:sz w:val="32"/>
          <w:szCs w:val="32"/>
        </w:rPr>
        <w:t>АДМИНИСТРАЦИЯ ЧЕРНУШСКОГО СЕЛЬСКОГО ПОСЕЛЕНИЯ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8E5">
        <w:rPr>
          <w:rFonts w:ascii="Times New Roman" w:hAnsi="Times New Roman" w:cs="Times New Roman"/>
          <w:b/>
          <w:bCs/>
          <w:sz w:val="32"/>
          <w:szCs w:val="32"/>
        </w:rPr>
        <w:t>КИЛЬМЕЗСКОГО РАЙОНА КИРОВСКОЙ ОБЛАСТИ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8E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E5">
        <w:rPr>
          <w:rFonts w:ascii="Times New Roman" w:hAnsi="Times New Roman" w:cs="Times New Roman"/>
          <w:b/>
          <w:bCs/>
          <w:sz w:val="28"/>
          <w:szCs w:val="28"/>
        </w:rPr>
        <w:t>00.04.2022                                                                                                           № 00</w:t>
      </w: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>ОБ УТВЕРЖДЕНИИ МЕСТНЫХ НОРМАТИВОВ ГРАДОСТРОИТЕЛЬНОГО</w:t>
      </w: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ЧЕРНУШСКОЕ СЕЛЬСКОЕ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КИЛЬМЕЗСКОГО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КИРОВСКОЙ ОБЛАСТИ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992E6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8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92E6A">
        <w:rPr>
          <w:rFonts w:ascii="Times New Roman" w:hAnsi="Times New Roman" w:cs="Times New Roman"/>
          <w:sz w:val="24"/>
          <w:szCs w:val="24"/>
        </w:rPr>
        <w:t xml:space="preserve"> района Кировской области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2E6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E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 xml:space="preserve">Утвердить местные </w:t>
      </w:r>
      <w:hyperlink r:id="rId9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муниципального образования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Чернушское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D1045" w:rsidRPr="00992E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92E6A">
        <w:rPr>
          <w:rFonts w:ascii="Times New Roman" w:hAnsi="Times New Roman" w:cs="Times New Roman"/>
          <w:sz w:val="24"/>
          <w:szCs w:val="24"/>
        </w:rPr>
        <w:t>Кировской области. Прилагаются.</w:t>
      </w:r>
    </w:p>
    <w:p w:rsidR="00F818E5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информационном бюллетене правовых актов органом местного самоуправления и на официальном сайте органов местного самоуправления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10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градостроительной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F818E5" w:rsidRPr="00992E6A" w:rsidRDefault="00F818E5" w:rsidP="00F818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Глава</w:t>
      </w:r>
      <w:r w:rsidR="008D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Г.Ф. Грозных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18E5" w:rsidRPr="008D1045" w:rsidRDefault="008D104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1045" w:rsidRDefault="008D104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18E5" w:rsidRPr="008D104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 xml:space="preserve">от </w:t>
      </w:r>
      <w:r w:rsidR="008D1045">
        <w:rPr>
          <w:rFonts w:ascii="Times New Roman" w:hAnsi="Times New Roman" w:cs="Times New Roman"/>
          <w:sz w:val="24"/>
          <w:szCs w:val="24"/>
        </w:rPr>
        <w:t>00.</w:t>
      </w:r>
      <w:r w:rsidRPr="008D1045">
        <w:rPr>
          <w:rFonts w:ascii="Times New Roman" w:hAnsi="Times New Roman" w:cs="Times New Roman"/>
          <w:sz w:val="24"/>
          <w:szCs w:val="24"/>
        </w:rPr>
        <w:t xml:space="preserve"> </w:t>
      </w:r>
      <w:r w:rsidR="008D1045">
        <w:rPr>
          <w:rFonts w:ascii="Times New Roman" w:hAnsi="Times New Roman" w:cs="Times New Roman"/>
          <w:sz w:val="24"/>
          <w:szCs w:val="24"/>
        </w:rPr>
        <w:t>04</w:t>
      </w:r>
      <w:r w:rsidRPr="008D1045">
        <w:rPr>
          <w:rFonts w:ascii="Times New Roman" w:hAnsi="Times New Roman" w:cs="Times New Roman"/>
          <w:sz w:val="24"/>
          <w:szCs w:val="24"/>
        </w:rPr>
        <w:t xml:space="preserve"> 202</w:t>
      </w:r>
      <w:r w:rsidR="008D1045">
        <w:rPr>
          <w:rFonts w:ascii="Times New Roman" w:hAnsi="Times New Roman" w:cs="Times New Roman"/>
          <w:sz w:val="24"/>
          <w:szCs w:val="24"/>
        </w:rPr>
        <w:t>2</w:t>
      </w:r>
      <w:r w:rsidRPr="008D1045">
        <w:rPr>
          <w:rFonts w:ascii="Times New Roman" w:hAnsi="Times New Roman" w:cs="Times New Roman"/>
          <w:sz w:val="24"/>
          <w:szCs w:val="24"/>
        </w:rPr>
        <w:t xml:space="preserve"> г. </w:t>
      </w:r>
      <w:r w:rsidR="008D1045">
        <w:rPr>
          <w:rFonts w:ascii="Times New Roman" w:hAnsi="Times New Roman" w:cs="Times New Roman"/>
          <w:sz w:val="24"/>
          <w:szCs w:val="24"/>
        </w:rPr>
        <w:t>№ 00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МЕСТНЫЕ НОРМАТИВЫ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</w:t>
      </w:r>
    </w:p>
    <w:p w:rsidR="00F818E5" w:rsidRDefault="00117DF7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ЧЕРНУШСКОГО СЕЛЬСКОГО ПОСЕЛЕНИЯ                                                                       КИЛЬМЕЗСКОГО</w:t>
      </w:r>
      <w:r w:rsidR="00F818E5" w:rsidRPr="00117DF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17DF7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местные нормативы) подготовлены в соответствии с требованиями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 (далее - Закон области).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Законом области, населения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Основная часть (расчетные показатели минимально допустимого уровня обеспеченности объектами, предусмотренными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населения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при подготовке изменений в схему территориального планирования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Автовокзалы для межмуниципального транспортного сообщения,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835"/>
        <w:gridCol w:w="2551"/>
      </w:tblGrid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организации,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I ступени обучения - 2 км пешеходной и 10 км транспортной доступности;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учащихся II - III ступеней - 4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учреждения, мест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 места, в том числе: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 - 4; спортивная школа - 20;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или музыкальная, художественная, хореографическая школа 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к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Размеры земельных участков организаций в области образования, не указанных в приложении Ж к СП 42.13330.2011, следует принимать по заданию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Участки детских дошкольных организаций не должны примыкать непосредственно к магистральным улицам.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5 тыс.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пользования, кв. м площади пола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Комплексы физкультурно-оздоровительных площадок предусматриваются в каждом поселении.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поселениях с числом жителей от 2 до 5 тыс. следует предусматривать один спортивный зал площадью 540 кв. 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к СП 42.13330.2011 или заданием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Расчетные показатели минимально допустимого уровня обеспеченности объектами в области утилизации и переработки бытовых и промышленных отходов.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относящихся к области утилизации и переработки бытовых и промышленных отходов, и местоположение таких объектов принимаются в соответствии с Генеральной схемой очистки территорий населенных пунктов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бытовых и промышленных отходов,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рекреационного назначения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населенного пункта: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пользования, кв. м/человек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- 1 час 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залы,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30 - 40 минут 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архивы,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Площадь городских парков следует принимать не менее 15 га; парков в жилых районах - не менее 3 га.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доступности парков должно составлять не более 20 минут.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к СП 42.13330.2011 или заданием на проектирование таких объектов.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Электроснабжение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и сельского поселения в области электроснабжения населения установлены с учетом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марта 2003 г. N 35-ФЗ "Об электроэнергетике".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электрических нагрузок для разных типов застройки следует производить в соответствии с нормами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РД 34.20.185-94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 153-34.20.185-94) и СП 31-110-2003.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электропотребления для проживающего населения, приведенные в таблице 7, установлены на основании приложения Л к СП 42.13330.2016 "СНиП 2.07-89* Градостроительство. Планировка и застройка городских и сельских поселений" и рекомендованы для определения минимальной необходимой мощности объектов электроснабжения.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не оборудован стационарными электроплитами: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жилищный фонд (без кондиционеров) которых: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Укрупненные показатели электропотребления приводятся для населенных пунктов городского типа, которыми являются поселки городского типа.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54.13330.2016.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Газоснабжение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газораспределительных систем, реконструкцию и развитие действующих газораспределительных систем следует осуществлять в соответствии со схемой газоснабжения, разработанной в составе программы газификации Кировской области, в целях обеспечения предусматриваемого программой уровня газификации жилищно-коммунального хозяйства, промышленных и иных организаций.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коммунально-бытовые нужды населения и производственные нужды и характеристики планируемых к размещению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расхода природного газа на нужды населения, которые следует использовать в целях градостроительного проектирования в качестве укрупненных показателей расхода (потребления) природного газа, приведены в таблице 8.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F" w:rsidRDefault="00407CAF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газа м3/год на 1 чел.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централизованным горячим водоснабжением)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 и газовым водонагревателем, при отсутствии централизованного горячего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без централизованного горячего водоснабжения и газового водонагревателя)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Удельные показатели максимальной тепловой нагрузки, расхода газа для различных потребителей следует принимать по нормам СП 124.13330.2012 "Тепловые сети", СП 42-101-2003 "Общие положения по проектированию и строительству газораспределительных систем из металлических и полиэтиленовых труб".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не нормируется.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2.8. Автомобильные дороги местного значения вне границ населенных пунктов в границах муниципального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(основные расчетные параметры) автомобильных дорог местного значения вне границ населенных пунктов в границах муниципального района приведены в таблице 9.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35"/>
        <w:gridCol w:w="2835"/>
      </w:tblGrid>
      <w:tr w:rsidR="00F818E5" w:rsidTr="003C376B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уровни обеспеченности - основные расчетные параметры для автомобильных дорог</w:t>
            </w:r>
          </w:p>
        </w:tc>
      </w:tr>
      <w:tr w:rsidR="00F818E5" w:rsidTr="003C376B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пунктов, в том числе основные расчетные параметры: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3,5 - 4,5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разделительная полоса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пересечения с автодорогами, велосипедными и пешеходными дорожками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в одном уровне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примыкания в одном уровне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автомобильных дорог местного значения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1304"/>
        <w:gridCol w:w="1531"/>
        <w:gridCol w:w="1417"/>
      </w:tblGrid>
      <w:tr w:rsidR="00F818E5" w:rsidTr="003C376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обеспеченности</w:t>
            </w:r>
          </w:p>
        </w:tc>
      </w:tr>
      <w:tr w:rsidR="00F818E5" w:rsidTr="003C376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818E5" w:rsidTr="003C376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км/1 км 2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Параметры, включая размеры перечисленных элементов улично-дорожной сети, ширину основных улиц и дорог в красных линиях, определяются документами территориального планирования - генеральными планами поселений, входящих в состав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местных нормативах установлены расчетные показатели минимально допустимого уровня обеспеченности объектами местного значения района и расчетные показатели максимально допустимого уровня территориальной доступности таких объектов для населения муниципального района с учетом: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населения, на территории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проживает </w:t>
      </w:r>
      <w:r w:rsidR="006E290B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 xml:space="preserve"> чел.: </w:t>
      </w:r>
      <w:r w:rsidR="006E290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</w:t>
      </w:r>
      <w:proofErr w:type="gramEnd"/>
      <w:r>
        <w:rPr>
          <w:rFonts w:ascii="Times New Roman" w:hAnsi="Times New Roman" w:cs="Times New Roman"/>
          <w:sz w:val="24"/>
          <w:szCs w:val="24"/>
        </w:rPr>
        <w:t>/кв. м;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разрабатывающейся стратегии социально-экономического развития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заинтересованных лиц;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Кировской области, утвержденных постановлением Правительства Кировской области;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территориального планирования.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нормативы направлены на повышение благоприятных условий жизни населения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района, устойчивое развитие его территорий.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установленных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местных нормативах расчетных показателей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транспорта: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утилизации и переработки бытовых и промышленных отходов: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в иных областях: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км.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rPr>
          <w:rFonts w:ascii="Times New Roman" w:hAnsi="Times New Roman" w:cs="Times New Roman"/>
          <w:sz w:val="24"/>
          <w:szCs w:val="24"/>
        </w:rPr>
      </w:pPr>
    </w:p>
    <w:p w:rsidR="00847563" w:rsidRDefault="00847563"/>
    <w:sectPr w:rsidR="00847563" w:rsidSect="00992E6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3B"/>
    <w:rsid w:val="00117DF7"/>
    <w:rsid w:val="00407CAF"/>
    <w:rsid w:val="006E290B"/>
    <w:rsid w:val="00796B3B"/>
    <w:rsid w:val="00847563"/>
    <w:rsid w:val="008D1045"/>
    <w:rsid w:val="00C02B63"/>
    <w:rsid w:val="00EA43EE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6A2"/>
  <w15:chartTrackingRefBased/>
  <w15:docId w15:val="{D6CBEAC9-43F0-4655-A177-CC933F5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7EB399CE5335DBC2C3531B1EA6E1E8BE9F266DD4D7DDEC116EF2436A8185643A1C7816A11C8E81A613963A2E283FD48M" TargetMode="External"/><Relationship Id="rId13" Type="http://schemas.openxmlformats.org/officeDocument/2006/relationships/hyperlink" Target="consultantplus://offline/ref=0685A3AFAA3D633EE3288FC5FCFCAB081ABEEA522CDF1401D80269CA55083BC6AAE33D5DD83A619F1886CE7289u2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C550984B9E99E2BC79EF7953337EB399CE5335DB525313DB0EA6E1E8BE9F266DD4D7DCCC14EE3253EB6195156F796C7F34DM" TargetMode="External"/><Relationship Id="rId12" Type="http://schemas.openxmlformats.org/officeDocument/2006/relationships/hyperlink" Target="consultantplus://offline/ref=0685A3AFAA3D633EE3288FC5FCFCAB081ABFE95027D91401D80269CA55083BC6B8E36551D933779C1D939823CF7F4021EBF6AA9F5652EFE6uBS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FAB88F69942AA81735AB461C97DDDC6C700A4B58F22D74481AFF9DAE4EDC1CAA2C3C0B314DB9BC727C27FAA0DQ2N" TargetMode="External"/><Relationship Id="rId11" Type="http://schemas.openxmlformats.org/officeDocument/2006/relationships/hyperlink" Target="consultantplus://offline/ref=0685A3AFAA3D633EE32891C8EA90F70119BDB35924D71F578D556F9D0A583D93F8A3630488762A921A90D27288344F20E1uESAN" TargetMode="External"/><Relationship Id="rId5" Type="http://schemas.openxmlformats.org/officeDocument/2006/relationships/hyperlink" Target="consultantplus://offline/ref=CDFFAB88F69942AA81735AB461C97DDDC1CE01A8B48B22D74481AFF9DAE4EDC1CAA2C3C0B314DB9BC727C27FAA0DQ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5A3AFAA3D633EE3288FC5FCFCAB081ABFE95027D91401D80269CA55083BC6B8E36551D933779A1D939823CF7F4021EBF6AA9F5652EFE6uB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C550984B9E99E2BC79EF7953337EB399CE5335DB5213130B4EA6E1E8BE9F266DD4D7DDEC116EF2436A8195B43A1C7816A11C8E81A613963A2E283FD48M" TargetMode="External"/><Relationship Id="rId14" Type="http://schemas.openxmlformats.org/officeDocument/2006/relationships/hyperlink" Target="consultantplus://offline/ref=0685A3AFAA3D633EE3288FC5FCFCAB081BB3EA5525DB1401D80269CA55083BC6AAE33D5DD83A619F1886CE7289u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2022-04-04T11:38:00Z</cp:lastPrinted>
  <dcterms:created xsi:type="dcterms:W3CDTF">2022-04-04T10:32:00Z</dcterms:created>
  <dcterms:modified xsi:type="dcterms:W3CDTF">2022-04-04T11:39:00Z</dcterms:modified>
</cp:coreProperties>
</file>